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C352" w14:textId="0BFEA44A" w:rsidR="00411348" w:rsidRDefault="00D3342C" w:rsidP="34963F09">
      <w:pPr>
        <w:rPr>
          <w:rFonts w:ascii="Avenir Next LT Pro" w:eastAsia="Avenir Next LT Pro" w:hAnsi="Avenir Next LT Pro" w:cs="Avenir Next LT Pro"/>
        </w:rPr>
      </w:pPr>
      <w:r w:rsidRPr="34963F09">
        <w:rPr>
          <w:rFonts w:ascii="Avenir Next LT Pro" w:eastAsia="Avenir Next LT Pro" w:hAnsi="Avenir Next LT Pro" w:cs="Avenir Next LT Pro"/>
        </w:rPr>
        <w:t>Evaluatie</w:t>
      </w:r>
      <w:r w:rsidR="00197A98">
        <w:rPr>
          <w:rFonts w:ascii="Avenir Next LT Pro" w:eastAsia="Avenir Next LT Pro" w:hAnsi="Avenir Next LT Pro" w:cs="Avenir Next LT Pro"/>
        </w:rPr>
        <w:t>formulier</w:t>
      </w:r>
      <w:r w:rsidRPr="34963F09">
        <w:rPr>
          <w:rFonts w:ascii="Avenir Next LT Pro" w:eastAsia="Avenir Next LT Pro" w:hAnsi="Avenir Next LT Pro" w:cs="Avenir Next LT Pro"/>
        </w:rPr>
        <w:t xml:space="preserve"> leerlingen bij de lessen ‘</w:t>
      </w:r>
      <w:r w:rsidR="5B50112E" w:rsidRPr="34963F09">
        <w:rPr>
          <w:rFonts w:ascii="Avenir Next LT Pro" w:eastAsia="Avenir Next LT Pro" w:hAnsi="Avenir Next LT Pro" w:cs="Avenir Next LT Pro"/>
        </w:rPr>
        <w:t>werken aan zelfvertrouwen</w:t>
      </w:r>
      <w:r w:rsidRPr="34963F09">
        <w:rPr>
          <w:rFonts w:ascii="Avenir Next LT Pro" w:eastAsia="Avenir Next LT Pro" w:hAnsi="Avenir Next LT Pro" w:cs="Avenir Next LT Pro"/>
        </w:rPr>
        <w:t xml:space="preserve">’ </w:t>
      </w:r>
    </w:p>
    <w:p w14:paraId="4D95F16A" w14:textId="77777777" w:rsidR="00D3342C" w:rsidRDefault="00D3342C" w:rsidP="34963F09">
      <w:pPr>
        <w:rPr>
          <w:rFonts w:ascii="Avenir Next LT Pro" w:eastAsia="Avenir Next LT Pro" w:hAnsi="Avenir Next LT Pro" w:cs="Avenir Next LT Pro"/>
        </w:rPr>
      </w:pPr>
    </w:p>
    <w:p w14:paraId="28164A9B" w14:textId="32251E94" w:rsidR="00D3342C" w:rsidRDefault="00D3342C" w:rsidP="34963F09">
      <w:pPr>
        <w:rPr>
          <w:rFonts w:ascii="Avenir Next LT Pro" w:eastAsia="Avenir Next LT Pro" w:hAnsi="Avenir Next LT Pro" w:cs="Avenir Next LT Pro"/>
        </w:rPr>
      </w:pPr>
      <w:r w:rsidRPr="34963F09">
        <w:rPr>
          <w:rFonts w:ascii="Avenir Next LT Pro" w:eastAsia="Avenir Next LT Pro" w:hAnsi="Avenir Next LT Pro" w:cs="Avenir Next LT Pro"/>
        </w:rPr>
        <w:t>Les</w:t>
      </w:r>
      <w:r w:rsidR="4A5F9086" w:rsidRPr="34963F09">
        <w:rPr>
          <w:rFonts w:ascii="Avenir Next LT Pro" w:eastAsia="Avenir Next LT Pro" w:hAnsi="Avenir Next LT Pro" w:cs="Avenir Next LT Pro"/>
        </w:rPr>
        <w:t xml:space="preserve">senserie </w:t>
      </w:r>
      <w:r w:rsidR="4A5F9086" w:rsidRPr="34963F09">
        <w:rPr>
          <w:rFonts w:ascii="Avenir Next LT Pro" w:eastAsia="Avenir Next LT Pro" w:hAnsi="Avenir Next LT Pro" w:cs="Avenir Next LT Pro"/>
          <w:i/>
          <w:iCs/>
        </w:rPr>
        <w:t>Voorbereiden van de snuffelstage</w:t>
      </w:r>
    </w:p>
    <w:p w14:paraId="5E12FD45" w14:textId="77777777" w:rsidR="00D3342C" w:rsidRDefault="00D3342C" w:rsidP="34963F09">
      <w:pPr>
        <w:rPr>
          <w:rFonts w:ascii="Avenir Next LT Pro" w:eastAsia="Avenir Next LT Pro" w:hAnsi="Avenir Next LT Pro" w:cs="Avenir Next LT Pro"/>
        </w:rPr>
      </w:pPr>
    </w:p>
    <w:p w14:paraId="6F6AEC1C" w14:textId="7E824455" w:rsidR="3D19FAF5" w:rsidRDefault="3D19FAF5" w:rsidP="4AC5CA52">
      <w:pPr>
        <w:rPr>
          <w:rFonts w:ascii="Avenir Next LT Pro" w:eastAsia="Avenir Next LT Pro" w:hAnsi="Avenir Next LT Pro" w:cs="Avenir Next LT Pro"/>
          <w:b/>
          <w:bCs/>
        </w:rPr>
      </w:pPr>
      <w:r w:rsidRPr="4AC5CA52">
        <w:rPr>
          <w:rFonts w:ascii="Avenir Next LT Pro" w:eastAsia="Avenir Next LT Pro" w:hAnsi="Avenir Next LT Pro" w:cs="Avenir Next LT Pro"/>
          <w:b/>
          <w:bCs/>
        </w:rPr>
        <w:t>Doelen:</w:t>
      </w:r>
    </w:p>
    <w:p w14:paraId="69D27FAA" w14:textId="42459752" w:rsidR="3D19FAF5" w:rsidRDefault="3D19FAF5" w:rsidP="4AC5CA52">
      <w:pPr>
        <w:pStyle w:val="Lijstalinea"/>
        <w:numPr>
          <w:ilvl w:val="0"/>
          <w:numId w:val="1"/>
        </w:numPr>
        <w:rPr>
          <w:rFonts w:ascii="Avenir Next LT Pro" w:eastAsia="Avenir Next LT Pro" w:hAnsi="Avenir Next LT Pro" w:cs="Avenir Next LT Pro"/>
        </w:rPr>
      </w:pPr>
      <w:r w:rsidRPr="4AC5CA52">
        <w:rPr>
          <w:rFonts w:ascii="Avenir Next LT Pro" w:eastAsia="Avenir Next LT Pro" w:hAnsi="Avenir Next LT Pro" w:cs="Avenir Next LT Pro"/>
        </w:rPr>
        <w:t>Je ontdekt wat je wil leren van een stage</w:t>
      </w:r>
    </w:p>
    <w:p w14:paraId="6ACB06AB" w14:textId="01F8B569" w:rsidR="3D19FAF5" w:rsidRDefault="3D19FAF5" w:rsidP="4AC5CA52">
      <w:pPr>
        <w:pStyle w:val="Lijstalinea"/>
        <w:numPr>
          <w:ilvl w:val="0"/>
          <w:numId w:val="1"/>
        </w:numPr>
        <w:rPr>
          <w:rFonts w:ascii="Avenir Next LT Pro" w:eastAsia="Avenir Next LT Pro" w:hAnsi="Avenir Next LT Pro" w:cs="Avenir Next LT Pro"/>
        </w:rPr>
      </w:pPr>
      <w:r w:rsidRPr="4AC5CA52">
        <w:rPr>
          <w:rFonts w:ascii="Avenir Next LT Pro" w:eastAsia="Avenir Next LT Pro" w:hAnsi="Avenir Next LT Pro" w:cs="Avenir Next LT Pro"/>
        </w:rPr>
        <w:t>Je ontdekt bij wat voor soort bedrijf je stage wil lopen</w:t>
      </w:r>
    </w:p>
    <w:p w14:paraId="33AEA713" w14:textId="345FBB68" w:rsidR="3D19FAF5" w:rsidRDefault="3D19FAF5" w:rsidP="4AC5CA52">
      <w:pPr>
        <w:pStyle w:val="Lijstalinea"/>
        <w:numPr>
          <w:ilvl w:val="0"/>
          <w:numId w:val="1"/>
        </w:numPr>
        <w:rPr>
          <w:rFonts w:ascii="Avenir Next LT Pro" w:eastAsia="Avenir Next LT Pro" w:hAnsi="Avenir Next LT Pro" w:cs="Avenir Next LT Pro"/>
        </w:rPr>
      </w:pPr>
      <w:r w:rsidRPr="4AC5CA52">
        <w:rPr>
          <w:rFonts w:ascii="Avenir Next LT Pro" w:eastAsia="Avenir Next LT Pro" w:hAnsi="Avenir Next LT Pro" w:cs="Avenir Next LT Pro"/>
        </w:rPr>
        <w:t>Je leert hoe je een sollicitatiegesprek voert</w:t>
      </w:r>
    </w:p>
    <w:p w14:paraId="24BEA1F8" w14:textId="1DEC1A10" w:rsidR="4AC5CA52" w:rsidRDefault="4AC5CA52" w:rsidP="00197A98">
      <w:pPr>
        <w:pStyle w:val="Lijstalinea"/>
        <w:rPr>
          <w:rFonts w:ascii="Avenir Next LT Pro" w:eastAsia="Avenir Next LT Pro" w:hAnsi="Avenir Next LT Pro" w:cs="Avenir Next LT Pro"/>
        </w:rPr>
      </w:pPr>
    </w:p>
    <w:p w14:paraId="591BD38F" w14:textId="30E36185" w:rsidR="4AC5CA52" w:rsidRDefault="4AC5CA52" w:rsidP="4AC5CA52">
      <w:pPr>
        <w:rPr>
          <w:rFonts w:ascii="Avenir Next LT Pro" w:eastAsia="Avenir Next LT Pro" w:hAnsi="Avenir Next LT Pro" w:cs="Avenir Next LT Pro"/>
        </w:rPr>
      </w:pPr>
    </w:p>
    <w:p w14:paraId="2DBBABA6" w14:textId="77777777" w:rsidR="00D3342C" w:rsidRPr="001C1DE8" w:rsidRDefault="00D3342C" w:rsidP="34963F09">
      <w:pPr>
        <w:textAlignment w:val="baseline"/>
        <w:rPr>
          <w:rFonts w:ascii="Avenir Next LT Pro" w:eastAsia="Avenir Next LT Pro" w:hAnsi="Avenir Next LT Pro" w:cs="Avenir Next LT Pro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73733A2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13B4CE22" w14:textId="77777777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proofErr w:type="spellStart"/>
            <w:r w:rsidRPr="34963F09">
              <w:rPr>
                <w:rFonts w:ascii="Avenir Next LT Pro" w:eastAsia="Avenir Next LT Pro" w:hAnsi="Avenir Next LT Pro" w:cs="Avenir Next LT Pro"/>
                <w:sz w:val="22"/>
                <w:szCs w:val="22"/>
                <w:lang w:val="en-US"/>
              </w:rPr>
              <w:t>Oneens</w:t>
            </w:r>
            <w:proofErr w:type="spellEnd"/>
            <w:r w:rsidRPr="34963F09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3075384" w14:textId="7D093FD6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proofErr w:type="spellStart"/>
            <w:r w:rsidRPr="34963F09">
              <w:rPr>
                <w:rFonts w:ascii="Avenir Next LT Pro" w:eastAsia="Avenir Next LT Pro" w:hAnsi="Avenir Next LT Pro" w:cs="Avenir Next LT Pro"/>
                <w:sz w:val="22"/>
                <w:szCs w:val="22"/>
                <w:lang w:val="en-US"/>
              </w:rPr>
              <w:t>Neutraal</w:t>
            </w:r>
            <w:proofErr w:type="spellEnd"/>
            <w:r w:rsidRPr="34963F09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proofErr w:type="spellStart"/>
            <w:r w:rsidRPr="34963F09">
              <w:rPr>
                <w:rFonts w:ascii="Avenir Next LT Pro" w:eastAsia="Avenir Next LT Pro" w:hAnsi="Avenir Next LT Pro" w:cs="Avenir Next LT Pro"/>
                <w:sz w:val="22"/>
                <w:szCs w:val="22"/>
                <w:lang w:val="en-US"/>
              </w:rPr>
              <w:t>Eens</w:t>
            </w:r>
            <w:proofErr w:type="spellEnd"/>
          </w:p>
        </w:tc>
      </w:tr>
      <w:tr w:rsidR="00D3342C" w:rsidRPr="00FA3516" w14:paraId="30B2B292" w14:textId="77777777" w:rsidTr="73733A27">
        <w:trPr>
          <w:trHeight w:val="765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2C481CBF" w14:textId="76CABCB9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4AC5CA52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Ik vond het</w:t>
            </w:r>
            <w:r w:rsidR="3ED23E84" w:rsidRPr="4AC5CA52">
              <w:rPr>
                <w:rFonts w:ascii="Avenir Next LT Pro" w:eastAsia="Avenir Next LT Pro" w:hAnsi="Avenir Next LT Pro" w:cs="Avenir Next LT Pro"/>
                <w:color w:val="FF0000"/>
                <w:sz w:val="22"/>
                <w:szCs w:val="22"/>
              </w:rPr>
              <w:t xml:space="preserve"> </w:t>
            </w:r>
            <w:r w:rsidR="3ED23E84" w:rsidRPr="002B3662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leuk</w:t>
            </w:r>
            <w:r w:rsidRPr="002B3662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 </w:t>
            </w:r>
            <w:r w:rsidRPr="4AC5CA52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 xml:space="preserve">om </w:t>
            </w:r>
            <w:r w:rsidR="2CBF264F" w:rsidRPr="4AC5CA52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aan opdrachten te werken ter voorbereiding van mijn stage</w:t>
            </w:r>
            <w:r w:rsidRPr="4AC5CA52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A6A5E1B" w14:textId="77777777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D3342C" w:rsidRPr="001C1DE8" w:rsidRDefault="00D3342C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26018" w:rsidRPr="00FA3516" w14:paraId="41309C98" w14:textId="77777777" w:rsidTr="73733A27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52795A63" w14:textId="1861AD90" w:rsidR="00E26018" w:rsidRPr="008C7D53" w:rsidRDefault="00E26018" w:rsidP="34963F09">
            <w:pPr>
              <w:spacing w:line="259" w:lineRule="auto"/>
              <w:jc w:val="center"/>
            </w:pPr>
            <w:r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Door de filmopdracht kan ik beter uitleggen wat mijn wensen zijn voor een stage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E26018" w:rsidRPr="001C1DE8" w:rsidRDefault="00E26018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D131F9C" w14:textId="77777777" w:rsidR="00E26018" w:rsidRPr="001C1DE8" w:rsidRDefault="00E26018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E26018" w:rsidRPr="001C1DE8" w:rsidRDefault="00E26018" w:rsidP="34963F0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26018" w:rsidRPr="00FA3516" w14:paraId="0FCD1141" w14:textId="77777777" w:rsidTr="73733A27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769EA368" w14:textId="4BEDA4A9" w:rsidR="00E26018" w:rsidRPr="008C7D53" w:rsidRDefault="00344D59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Door de filmopdracht ben ik beter gaan nadenken over wat ik belangrijk vind </w:t>
            </w:r>
            <w:r w:rsidR="008C7D53"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bij een stage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3EEFBBD4" w14:textId="77777777" w:rsidR="00E26018" w:rsidRPr="001C1DE8" w:rsidRDefault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E057A60" w14:textId="77777777" w:rsidR="00E26018" w:rsidRPr="001C1DE8" w:rsidRDefault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03347DDC" w14:textId="77777777" w:rsidR="00E26018" w:rsidRPr="001C1DE8" w:rsidRDefault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26018" w14:paraId="7043F39C" w14:textId="77777777" w:rsidTr="73733A27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</w:tcPr>
          <w:p w14:paraId="491BA429" w14:textId="77777777" w:rsidR="00E26018" w:rsidRPr="008C7D53" w:rsidRDefault="00E26018">
            <w:pPr>
              <w:jc w:val="center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Door het rollenspel weet ik beter hoe ik een sollicitatie gesprek moet voeren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4475968E" w14:textId="0A67959C" w:rsidR="00E26018" w:rsidRPr="00E26018" w:rsidRDefault="008C7D53">
            <w:pPr>
              <w:jc w:val="center"/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E1DA15F" w14:textId="42E344A8" w:rsidR="00E26018" w:rsidRPr="00E26018" w:rsidRDefault="008C7D53">
            <w:pPr>
              <w:jc w:val="center"/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01C4A6E9" w14:textId="23CDC9B5" w:rsidR="00E26018" w:rsidRPr="00E26018" w:rsidRDefault="008C7D53">
            <w:pPr>
              <w:jc w:val="center"/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0</w:t>
            </w:r>
          </w:p>
        </w:tc>
      </w:tr>
      <w:tr w:rsidR="00E26018" w:rsidRPr="00FA3516" w14:paraId="722B7895" w14:textId="77777777" w:rsidTr="73733A27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76295E60" w14:textId="07F81F7B" w:rsidR="00E26018" w:rsidRPr="008C7D53" w:rsidRDefault="00E26018" w:rsidP="00E26018">
            <w:pPr>
              <w:spacing w:line="259" w:lineRule="auto"/>
              <w:jc w:val="center"/>
            </w:pPr>
            <w:r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Het maken van interviewvragen heeft mij geholpen om een goed beeld te krijgen van een beroep.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2C167D04" w14:textId="3516932B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665D592E" w14:textId="3F943DE0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1139D19F" w14:textId="3A67EA4C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26018" w:rsidRPr="00FA3516" w14:paraId="39FFB744" w14:textId="77777777" w:rsidTr="73733A27">
        <w:trPr>
          <w:trHeight w:val="446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6" w:space="0" w:color="BFBFBF" w:themeColor="background1" w:themeShade="BF"/>
            </w:tcBorders>
            <w:vAlign w:val="center"/>
            <w:hideMark/>
          </w:tcPr>
          <w:p w14:paraId="753AD76D" w14:textId="3BA60E18" w:rsidR="00E26018" w:rsidRPr="008C7D53" w:rsidRDefault="00E26018" w:rsidP="00E26018">
            <w:pPr>
              <w:spacing w:line="259" w:lineRule="auto"/>
              <w:jc w:val="center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Ik durfde bij de </w:t>
            </w:r>
            <w:r w:rsidRPr="008C7D53">
              <w:rPr>
                <w:rFonts w:ascii="Avenir Next LT Pro" w:eastAsia="Avenir Next LT Pro" w:hAnsi="Avenir Next LT Pro" w:cs="Avenir Next LT Pro"/>
                <w:i/>
                <w:iCs/>
                <w:sz w:val="22"/>
                <w:szCs w:val="22"/>
              </w:rPr>
              <w:t>'buiten-les’</w:t>
            </w:r>
            <w:r w:rsidRPr="008C7D53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 goed om vragen te stellen aan de ondernemers of winkeliers.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E5B8B7"/>
            <w:vAlign w:val="center"/>
            <w:hideMark/>
          </w:tcPr>
          <w:p w14:paraId="6D67548D" w14:textId="3E189577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5E948620" w14:textId="502ABC96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C2D69B"/>
            <w:vAlign w:val="center"/>
            <w:hideMark/>
          </w:tcPr>
          <w:p w14:paraId="73B320D6" w14:textId="045B91D7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26018" w:rsidRPr="00FA3516" w14:paraId="2B60AA2D" w14:textId="77777777" w:rsidTr="73733A27">
        <w:trPr>
          <w:trHeight w:val="300"/>
        </w:trPr>
        <w:tc>
          <w:tcPr>
            <w:tcW w:w="5670" w:type="dxa"/>
            <w:tcBorders>
              <w:top w:val="single" w:sz="12" w:space="0" w:color="000000" w:themeColor="text1"/>
              <w:left w:val="nil"/>
              <w:bottom w:val="nil"/>
              <w:right w:val="single" w:sz="6" w:space="0" w:color="BFBFBF" w:themeColor="background1" w:themeShade="BF"/>
            </w:tcBorders>
            <w:vAlign w:val="center"/>
            <w:hideMark/>
          </w:tcPr>
          <w:p w14:paraId="4BA04BBC" w14:textId="128AC346" w:rsidR="00E26018" w:rsidRPr="001C1DE8" w:rsidRDefault="00E26018" w:rsidP="73733A27">
            <w:pPr>
              <w:spacing w:line="259" w:lineRule="auto"/>
              <w:jc w:val="center"/>
              <w:rPr>
                <w:rFonts w:ascii="Avenir Next LT Pro" w:eastAsia="Avenir Next LT Pro" w:hAnsi="Avenir Next LT Pro" w:cs="Avenir Next LT Pro"/>
                <w:i/>
                <w:iCs/>
                <w:sz w:val="22"/>
                <w:szCs w:val="22"/>
              </w:rPr>
            </w:pPr>
            <w:r w:rsidRPr="73733A27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Door </w:t>
            </w:r>
            <w:r w:rsidR="1AE697C1" w:rsidRPr="73733A27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de les weet ik hoe ik mijn droomberoep kan bereiken 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5F864BBA" w14:textId="6829348F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39D12BC" w14:textId="22C12EB2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7EDDDBE" w14:textId="0BCF1765" w:rsidR="00E26018" w:rsidRPr="001C1DE8" w:rsidRDefault="00DA1B9B" w:rsidP="00E26018">
            <w:pPr>
              <w:jc w:val="center"/>
              <w:textAlignment w:val="baseline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  <w:lang w:val="en-US"/>
              </w:rPr>
              <w:t>0</w:t>
            </w:r>
            <w:r w:rsidR="00E26018" w:rsidRPr="34963F09">
              <w:rPr>
                <w:rFonts w:ascii="Avenir Next LT Pro" w:eastAsia="Avenir Next LT Pro" w:hAnsi="Avenir Next LT Pro" w:cs="Avenir Next LT Pro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3B3A459A" w14:textId="1E9980B0" w:rsidR="34963F09" w:rsidRDefault="34963F09"/>
    <w:p w14:paraId="70770461" w14:textId="77777777" w:rsidR="00D3342C" w:rsidRDefault="00D3342C" w:rsidP="34963F09">
      <w:pPr>
        <w:rPr>
          <w:rFonts w:ascii="Avenir Next LT Pro" w:eastAsia="Avenir Next LT Pro" w:hAnsi="Avenir Next LT Pro" w:cs="Avenir Next LT Pro"/>
        </w:rPr>
      </w:pPr>
    </w:p>
    <w:p w14:paraId="2F316860" w14:textId="77777777" w:rsidR="00D3342C" w:rsidRDefault="00D3342C" w:rsidP="34963F09">
      <w:pPr>
        <w:rPr>
          <w:rFonts w:ascii="Avenir Next LT Pro" w:eastAsia="Avenir Next LT Pro" w:hAnsi="Avenir Next LT Pro" w:cs="Avenir Next LT Pro"/>
        </w:rPr>
      </w:pPr>
    </w:p>
    <w:p w14:paraId="6E0593E6" w14:textId="7EE999DB" w:rsidR="34963F09" w:rsidRDefault="34963F09" w:rsidP="34963F09">
      <w:pPr>
        <w:pStyle w:val="Normaalweb"/>
        <w:spacing w:before="0" w:beforeAutospacing="0" w:after="160" w:afterAutospacing="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</w:p>
    <w:p w14:paraId="5350D6F8" w14:textId="7D2CD6B8" w:rsidR="00D3342C" w:rsidRDefault="5D9E2383" w:rsidP="002B3662">
      <w:pPr>
        <w:pStyle w:val="Normaalweb"/>
        <w:spacing w:before="0" w:beforeAutospacing="0" w:after="160" w:afterAutospacing="0"/>
        <w:rPr>
          <w:rFonts w:ascii="Avenir Next LT Pro" w:eastAsia="Avenir Next LT Pro" w:hAnsi="Avenir Next LT Pro" w:cs="Avenir Next LT Pro"/>
        </w:rPr>
      </w:pPr>
      <w:r w:rsidRPr="34963F09">
        <w:rPr>
          <w:rFonts w:ascii="Avenir Next LT Pro" w:eastAsia="Avenir Next LT Pro" w:hAnsi="Avenir Next LT Pro" w:cs="Avenir Next LT Pro"/>
          <w:b/>
          <w:bCs/>
          <w:i/>
          <w:iCs/>
          <w:color w:val="000000" w:themeColor="text1"/>
          <w:sz w:val="22"/>
          <w:szCs w:val="22"/>
        </w:rPr>
        <w:t xml:space="preserve">Deze evaluatie maken en opsturen naar: </w:t>
      </w:r>
      <w:hyperlink r:id="rId9">
        <w:r w:rsidRPr="34963F09">
          <w:rPr>
            <w:rStyle w:val="Hyperlink"/>
            <w:rFonts w:ascii="Avenir Next LT Pro" w:eastAsia="Avenir Next LT Pro" w:hAnsi="Avenir Next LT Pro" w:cs="Avenir Next LT Pro"/>
            <w:b/>
            <w:bCs/>
            <w:i/>
            <w:iCs/>
            <w:sz w:val="22"/>
            <w:szCs w:val="22"/>
          </w:rPr>
          <w:t>info@expertisepuntlob.nl</w:t>
        </w:r>
      </w:hyperlink>
      <w:r w:rsidRPr="34963F09">
        <w:rPr>
          <w:rFonts w:ascii="Avenir Next LT Pro" w:eastAsia="Avenir Next LT Pro" w:hAnsi="Avenir Next LT Pro" w:cs="Avenir Next LT Pro"/>
          <w:b/>
          <w:bCs/>
          <w:i/>
          <w:iCs/>
          <w:color w:val="000000" w:themeColor="text1"/>
          <w:sz w:val="22"/>
          <w:szCs w:val="22"/>
        </w:rPr>
        <w:t xml:space="preserve"> met als onderwerp “Evaluatie le</w:t>
      </w:r>
      <w:r w:rsidR="5F029FF5" w:rsidRPr="34963F09">
        <w:rPr>
          <w:rFonts w:ascii="Avenir Next LT Pro" w:eastAsia="Avenir Next LT Pro" w:hAnsi="Avenir Next LT Pro" w:cs="Avenir Next LT Pro"/>
          <w:b/>
          <w:bCs/>
          <w:i/>
          <w:iCs/>
          <w:color w:val="000000" w:themeColor="text1"/>
          <w:sz w:val="22"/>
          <w:szCs w:val="22"/>
        </w:rPr>
        <w:t>ssenserie voorbereiden snuffelstage”. Graag in de mail benoemen op welke school deze lessenserie is ingezet</w:t>
      </w:r>
      <w:r w:rsidR="570FDDEA" w:rsidRPr="34963F09">
        <w:rPr>
          <w:rFonts w:ascii="Avenir Next LT Pro" w:eastAsia="Avenir Next LT Pro" w:hAnsi="Avenir Next LT Pro" w:cs="Avenir Next LT Pro"/>
          <w:b/>
          <w:bCs/>
          <w:i/>
          <w:iCs/>
          <w:color w:val="000000" w:themeColor="text1"/>
          <w:sz w:val="22"/>
          <w:szCs w:val="22"/>
        </w:rPr>
        <w:t xml:space="preserve"> en wie de contactpersoon is als er vragen zijn op basis van de ingeleverde evaluatie.</w:t>
      </w:r>
    </w:p>
    <w:sectPr w:rsidR="00D3342C" w:rsidSect="00A23E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470CE"/>
    <w:multiLevelType w:val="hybridMultilevel"/>
    <w:tmpl w:val="1E749D62"/>
    <w:lvl w:ilvl="0" w:tplc="21E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42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A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03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F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AA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AB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E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2372">
    <w:abstractNumId w:val="1"/>
  </w:num>
  <w:num w:numId="2" w16cid:durableId="1473478348">
    <w:abstractNumId w:val="2"/>
  </w:num>
  <w:num w:numId="3" w16cid:durableId="9758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5393C"/>
    <w:rsid w:val="00166E1D"/>
    <w:rsid w:val="00197A98"/>
    <w:rsid w:val="002921E2"/>
    <w:rsid w:val="002B3662"/>
    <w:rsid w:val="002E673E"/>
    <w:rsid w:val="00344D59"/>
    <w:rsid w:val="003E5C8D"/>
    <w:rsid w:val="00411348"/>
    <w:rsid w:val="00431556"/>
    <w:rsid w:val="004B1C93"/>
    <w:rsid w:val="00564391"/>
    <w:rsid w:val="00587236"/>
    <w:rsid w:val="005E1BF6"/>
    <w:rsid w:val="006C3E9E"/>
    <w:rsid w:val="008076DD"/>
    <w:rsid w:val="008C7D53"/>
    <w:rsid w:val="00946AA5"/>
    <w:rsid w:val="00950DE7"/>
    <w:rsid w:val="009933A1"/>
    <w:rsid w:val="0099630A"/>
    <w:rsid w:val="009B4428"/>
    <w:rsid w:val="00A23E91"/>
    <w:rsid w:val="00AC16DE"/>
    <w:rsid w:val="00AF3313"/>
    <w:rsid w:val="00B51B40"/>
    <w:rsid w:val="00BB1CEB"/>
    <w:rsid w:val="00C9402F"/>
    <w:rsid w:val="00D0F905"/>
    <w:rsid w:val="00D3342C"/>
    <w:rsid w:val="00DA1B9B"/>
    <w:rsid w:val="00DF17ED"/>
    <w:rsid w:val="00E26018"/>
    <w:rsid w:val="00E47A1D"/>
    <w:rsid w:val="03373500"/>
    <w:rsid w:val="035405B8"/>
    <w:rsid w:val="05DBDD9E"/>
    <w:rsid w:val="08F395CE"/>
    <w:rsid w:val="09012E00"/>
    <w:rsid w:val="0B43781B"/>
    <w:rsid w:val="0D4056C1"/>
    <w:rsid w:val="0E70005A"/>
    <w:rsid w:val="0FB926A2"/>
    <w:rsid w:val="0FEF9D3F"/>
    <w:rsid w:val="107577B5"/>
    <w:rsid w:val="10FCA25E"/>
    <w:rsid w:val="1102307D"/>
    <w:rsid w:val="11EF076C"/>
    <w:rsid w:val="13914280"/>
    <w:rsid w:val="14D38340"/>
    <w:rsid w:val="17598CD8"/>
    <w:rsid w:val="1AE697C1"/>
    <w:rsid w:val="1D241A57"/>
    <w:rsid w:val="1ECBDEAB"/>
    <w:rsid w:val="1ED0BD4F"/>
    <w:rsid w:val="1F69373A"/>
    <w:rsid w:val="22603B64"/>
    <w:rsid w:val="22E25CD6"/>
    <w:rsid w:val="2672933E"/>
    <w:rsid w:val="26AD3079"/>
    <w:rsid w:val="2966181D"/>
    <w:rsid w:val="2A817AB0"/>
    <w:rsid w:val="2A9CB03F"/>
    <w:rsid w:val="2C85CE42"/>
    <w:rsid w:val="2CBF264F"/>
    <w:rsid w:val="2CD0C9C9"/>
    <w:rsid w:val="2D84B938"/>
    <w:rsid w:val="2D8A341D"/>
    <w:rsid w:val="2DCE20EE"/>
    <w:rsid w:val="2DEF1C3A"/>
    <w:rsid w:val="31CAC247"/>
    <w:rsid w:val="3222D48B"/>
    <w:rsid w:val="32F4F9E6"/>
    <w:rsid w:val="33124064"/>
    <w:rsid w:val="33B054B2"/>
    <w:rsid w:val="3432D066"/>
    <w:rsid w:val="34963F09"/>
    <w:rsid w:val="35B6EB06"/>
    <w:rsid w:val="3ADE0F25"/>
    <w:rsid w:val="3C9E52D4"/>
    <w:rsid w:val="3D19FAF5"/>
    <w:rsid w:val="3E6ABE3B"/>
    <w:rsid w:val="3ED23E84"/>
    <w:rsid w:val="3F5C7AFF"/>
    <w:rsid w:val="3FEF2D90"/>
    <w:rsid w:val="4A5F9086"/>
    <w:rsid w:val="4AC5CA52"/>
    <w:rsid w:val="4E2C1825"/>
    <w:rsid w:val="4F052AE6"/>
    <w:rsid w:val="5051C021"/>
    <w:rsid w:val="5063CD26"/>
    <w:rsid w:val="50EFCBB3"/>
    <w:rsid w:val="536883FC"/>
    <w:rsid w:val="538BE687"/>
    <w:rsid w:val="570FDDEA"/>
    <w:rsid w:val="58F6E44A"/>
    <w:rsid w:val="59AF4A40"/>
    <w:rsid w:val="59F9D752"/>
    <w:rsid w:val="5A409422"/>
    <w:rsid w:val="5B50112E"/>
    <w:rsid w:val="5BBD1CE1"/>
    <w:rsid w:val="5D9E2383"/>
    <w:rsid w:val="5DF3D48D"/>
    <w:rsid w:val="5F029FF5"/>
    <w:rsid w:val="65DF7F27"/>
    <w:rsid w:val="69180854"/>
    <w:rsid w:val="6DFD48EA"/>
    <w:rsid w:val="6E9F072F"/>
    <w:rsid w:val="6FFD2AA1"/>
    <w:rsid w:val="7108D225"/>
    <w:rsid w:val="7230EF62"/>
    <w:rsid w:val="729B9E90"/>
    <w:rsid w:val="73733A27"/>
    <w:rsid w:val="73768E72"/>
    <w:rsid w:val="741C0A64"/>
    <w:rsid w:val="7F0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D4D32FB5-0A9B-4F5E-97FE-BC4FB665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D3342C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4AC5CA52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expertisepuntlob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f1e9157cba90779471fc9394ec1fd82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23330c5009742c0af321170e19c7e073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94ed71-ad37-40d4-b95a-d4271a6f83f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67FC7-B159-428D-81C9-7AE90F606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4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17</cp:revision>
  <dcterms:created xsi:type="dcterms:W3CDTF">2024-11-04T22:33:00Z</dcterms:created>
  <dcterms:modified xsi:type="dcterms:W3CDTF">2025-09-05T14:25:00Z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